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scalable, high-performance systems. Proficient in AWS, Kubernetes, Docker, Terraform, and TypeScript, with a focus on cloud infrastructure and distributed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reliable deployment across multiple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to enhance the performance of our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services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security for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disaster recovery strategies, ensuring system uptime during failures and critical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and security researchers to support high-velocity product development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across services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 and metrics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establish coding standards and ensure code quality while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practices,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issues across layers and implemented solutions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Navigated ambiguity to help define the architecture of our secure cloud-based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complete lifecycle of features from design to production support, driving end-to-end accountability.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of distributed systems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containerization and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the provisioning of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event-driven architecture designs, optimizing message queues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asynchronous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disaster recovery and business continuity plans, ensuring organizational resilience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teams, aligning product development with AI research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for improved monitoring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knowledge-sharing sessions on scalable system design methodologies for junior and mid-level engineers.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cloud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focusing on performance improvements and bug fixes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translating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across databases and services, achieving a 20% increase in throughput.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OCI,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Infrastructure</w:t>
      </w:r>
      <w:r>
        <w:rPr>
          <w:rFonts w:asciiTheme="minorHAnsi" w:hAnsiTheme="minorHAnsi" w:cstheme="majorHAnsi"/>
          <w:lang w:val="en-US"/>
        </w:rPr>
        <w:t xml:space="preserve">: Distributed Systems, Event-driven Architectures,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CI/CD,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