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low-latency, high-throughput systems. Proficient in Node.js, TypeScript, React, and WebRTC, focusing on robust backend and frontend solutions for voice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low-latency architectures for voice AI systems, significantly enhancing call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made key decisions on system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highly interactive agent builder dashboard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telephony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regulatory requirements and optimizing audio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established best practices for security compliance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system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improvements for service observability and monitoring, enhancing system uptime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audio streaming pipelines, focusing on reducing latency and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compliance with security measures and conducted internal audits for voice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technology strategies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on a large-scale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communication in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code quality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mobile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on-the-go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scope, resulting in improved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optimization efforts that improved data retrieval speeds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for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real-time audio streaming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 tasks while maintaining system integrity and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dedicating an average of 20 hours per week to complex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WebRTC,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Telephony &amp; Streaming</w:t>
      </w:r>
      <w:r>
        <w:rPr>
          <w:rFonts w:asciiTheme="minorHAnsi" w:hAnsiTheme="minorHAnsi" w:cstheme="majorHAnsi"/>
          <w:lang w:val="en-US"/>
        </w:rPr>
        <w:t xml:space="preserve">: Twilio, SIP/VoIP, STT, TTS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