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AI/ML solutions, specializing in building production-grade systems using Python, AWS, and TensorFlow. Proven ability to drive business impact through innovative AI technologies and collaborative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production AI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utilities' operational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AI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agentic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production-ready features, conducting design reviews and continuous integration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engineer AI-powered applications for enhanced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ML models for performance and cost, ensuring robust system operations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and innovative practices leading to improved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AI features that drove measurable business value, iterating on user feedback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secure data ingestion methodologies and embedding workflows supporting AI response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transition plans deploying AI projects from concept to production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AI/ML development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AI-driven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customer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advised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 pipelines improving retrieval speeds for ML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of various AI applications adjusting parameters for latency reduction.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user feedback into iterative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system integration and performance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to align AI capabilities with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predictive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tools for client applications, ensuring smooth migrations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reducing downtime through proactive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CI/CD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enhancing code quality and standards adherence.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releases of ML models exploring innovative data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FastAPI, Scikit-learn,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MongoDB, Redis, ELT/ETL, Data Pipelines,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Testing</w:t>
      </w:r>
      <w:r>
        <w:rPr>
          <w:rFonts w:asciiTheme="minorHAnsi" w:hAnsiTheme="minorHAnsi" w:cstheme="majorHAnsi"/>
          <w:lang w:val="en-US"/>
        </w:rPr>
        <w:t xml:space="preserve">: Prometheus, Grafana, Jest, Pytest, Model Monitoring, Evaluation Frameworks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