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AWS, Terraform, Kubernetes, and CI/CD pipelines. Proven expertise in architecting cloud-native solutions and enhancing developer experience through effective observability tools. Strong focus on implementing scalable, efficient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centralized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for over 700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 AWS resources to a declarative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troubleshoot legacy AWS infrastructure deployed with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 </w:t>
      </w:r>
      <w:r>
        <w:rPr>
          <w:rFonts w:asciiTheme="minorHAnsi" w:hAnsiTheme="minorHAnsi" w:cstheme="majorHAnsi"/>
          <w:b/>
          <w:bCs/>
          <w:lang w:val="en-US"/>
        </w:rPr>
        <w:t xml:space="preserve">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new services, aligning with cloud-native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migration of deployment pipelines from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 real-time observability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discussions on operational excellence, ensuring resilient and performant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manage costs and optimize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processes to share knowledge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collaboration and transparency with engineering teams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infrastructure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success rates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training platforms while optimizing backend systems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pipelines to enhance monitoring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provided on-call support for platform 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to implement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Scoped and deployed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infrastructure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the backend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establishing quality standards and best practices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cloud solutions, enhancing system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solutions to meet user requirements within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CI pipelines for faster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 and optimizations that reduced costs by 15% through efficient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GitHub Actions, ECS, EKS,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CloudWatch,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ECS, EKS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