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Architect with over 11 years of experience in cloud-native architecture, specializing in AWS, Kubernetes, Terraform, and microservices design. Proven expertise in API-first strategies and implementing Infrastructure-as-Code practices to enhance system scalability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cloud-native architectures for scalable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API-first strategies, ensuring clear documentation and versioning for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architectural blueprints and guidelines for microservices and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engineering teams in using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CI/CD pipelines, improving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translate complex business requirements into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secure software development methodologies and led </w:t>
      </w:r>
      <w:r>
        <w:rPr>
          <w:rFonts w:asciiTheme="minorHAnsi" w:hAnsiTheme="minorHAnsi" w:cstheme="majorHAnsi"/>
          <w:b/>
          <w:bCs/>
          <w:lang w:val="en-US"/>
        </w:rPr>
        <w:t xml:space="preserve">security audits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emerging technologies, optimizing the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backend and API development for enhanced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design reviews to uphold quality and security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microservices architecture for SaaS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resilience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API contract development while optimizing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ensure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 technologies,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caching strategies and observability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strategies for production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policies and secure coding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server-side logic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high-performance backend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application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integration and optimization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overall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Node.js,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