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Architect with 11+ years of experience in designing cloud-native systems and microservices architectures. Proficient in Java, Python, Spring Boot, AWS, and CI/CD methodologies. Proven expertise in architecture governance, integration strategies,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technical authority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architecture across the full SDLC, including requirements analysis and operational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end-to-end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databases aligned with Decennial Census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activities within an Agile </w:t>
      </w:r>
      <w:r>
        <w:rPr>
          <w:rFonts w:asciiTheme="minorHAnsi" w:hAnsiTheme="minorHAnsi" w:cstheme="majorHAnsi"/>
          <w:b/>
          <w:bCs/>
          <w:lang w:val="en-US"/>
        </w:rPr>
        <w:t xml:space="preserve">SAFe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supporting sprint planning and backlog grooming.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front-end ecosystems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configuration management and analytical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enterprise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RESTful design, security, and lifecycle governance,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secure, scalable back-end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Python services where appropriate.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database strategies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storage services to ensure high availability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patterns for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strategies with analytical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queueing services that manage job configurations from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computation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containerization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compliance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assessments to ensure quality, security, and performance standards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microservices-based systems ensuring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-first integration and compliance with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technical refinement of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automated testing and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interface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architectural strategies across the organization, enhancing communication and implementation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focused on application modernization and cloud adoption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specifications, supporting clear communications with stakeholders and technical staff.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delivering robust features within strict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 ensuring smooth transitions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design patterns and best practices for both front-end and back-end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enhancing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facilitating development and testing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 for large-scale applications, achieving up to 30% efficiency gains.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JAX-RS, Jersey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RAC, PostgreSQL, MariaDB,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Jenkins,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OpenAPI, CloudWatch,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