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Site Reliability Engineer with over 11 years of experience in cloud infrastructure, DevOps, and automation. Skilled in monitoring, incident response, and implementing security controls. Proficient with AWS, Docker, and CI/CD methodologies to optimize deployment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infrastructure to support seamless deployments and automation of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tuning and incident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CI/CD pipelines leveraging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reduce deployment times by enhancing the build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enforced security controls within infrastructure,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develop onboarding processes for </w:t>
      </w:r>
      <w:r>
        <w:rPr>
          <w:rFonts w:asciiTheme="minorHAnsi" w:hAnsiTheme="minorHAnsi" w:cstheme="majorHAnsi"/>
          <w:b/>
          <w:bCs/>
          <w:lang w:val="en-US"/>
        </w:rPr>
        <w:t xml:space="preserve">Site Reliability Engineers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team members on best practices in </w:t>
      </w:r>
      <w:r>
        <w:rPr>
          <w:rFonts w:asciiTheme="minorHAnsi" w:hAnsiTheme="minorHAnsi" w:cstheme="majorHAnsi"/>
          <w:b/>
          <w:bCs/>
          <w:lang w:val="en-US"/>
        </w:rPr>
        <w:t xml:space="preserve">cloud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audits of infrastructure costs, implementing strategies to optimize expenditure.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documentation for cloud infrastructure processes and standards, streamlining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incident response protocols ensuring effective handling of high-severity outages.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evaluated new technological solutions to improve operational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vendors to negotiate contracts and assess emerging tools for site reliability.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scalable architecture, enhancing operational reliability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fostered skill-building in cloud technologies and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infrastructure provisioning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initiatives to reduce manual overhead.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monitoring solutions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visibility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code reviews, maintaining code quality and security through </w:t>
      </w:r>
      <w:r>
        <w:rPr>
          <w:rFonts w:asciiTheme="minorHAnsi" w:eastAsia="Times New Roman" w:hAnsiTheme="minorHAnsi" w:cs="Times New Roman"/>
          <w:b/>
          <w:bCs/>
          <w:lang w:val="en-US"/>
        </w:rPr>
        <w:t xml:space="preserve">OWASP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translate requirements into technical specifications and actionable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performance benchmarks and conducted load testing to ensure application stability during peak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capacity planning initiatives to align infrastructure requirements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core infrastructure applications to ensure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improved scalability and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creating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application deployment, enhancing consistency across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incident response efforts by identifying root causes and implementing corrective 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for integration and unit tests, improving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99.9% uptime for critical services implemented during tenure.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Bash,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 Tools</w:t>
      </w:r>
      <w:r>
        <w:rPr>
          <w:rFonts w:asciiTheme="minorHAnsi" w:hAnsiTheme="minorHAnsi" w:cstheme="majorHAnsi"/>
          <w:lang w:val="en-US"/>
        </w:rPr>
        <w:t xml:space="preserve">: Prometheus, Grafana, ELK Stack,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IAM, SSL/TLS, OWASP, NIST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Collaboration</w:t>
      </w:r>
      <w:r>
        <w:rPr>
          <w:rFonts w:asciiTheme="minorHAnsi" w:hAnsiTheme="minorHAnsi" w:cstheme="majorHAnsi"/>
          <w:lang w:val="en-US"/>
        </w:rPr>
        <w:t xml:space="preserve">: Git, GitHub, Bitbucket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