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TypeScript, GraphQL, and full stack development. Proven history in architecting responsive interfaces and optimizing application performance across diverse environments. Dedicated to continuous improvement and leveraging cutting-edge technologies to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high-performance, mobile-first interfaces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personal loan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platform ownership for a greenfield application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translate wireframes from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deployment, ensuring robust and scalable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optimization techniques for low-bandwidth environments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fostering streamlined development and continuous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 patterns to promote efficient page building for UI and marketing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practices, contributing as a key team member in sprint planning and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Instrumented client-side UI to capture performance metrics and improve operational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fostered a culture of knowledge sharing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 application stack development from front-end to persistence, focusing on least resistance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and implemented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adopting modern UX frameworks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functional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deliver optimized data for UI components, enhancing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responsive user interfaces and enhanced component libraries, improving design consistency and efficiency across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testing practices, writing unit and integration tests to assure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processes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legacy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ensure alignment between UI/UX designs and technical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team standards and promote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for performance improvements, particularly in rendering and loading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code coverage in unit tests for critical features, ensuring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Apollo,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Responsive Design, User Experience Design, Figma, Adobe XD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