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developing scalable platforms, focusing on debt resolution, credit systems, and cross-domain integration. Proficient in Java, Spring Boot, microservices, and cloud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direction for </w:t>
      </w:r>
      <w:r>
        <w:rPr>
          <w:rFonts w:asciiTheme="minorHAnsi" w:hAnsiTheme="minorHAnsi" w:cstheme="majorHAnsi"/>
          <w:b/>
          <w:bCs/>
          <w:lang w:val="en-US"/>
        </w:rPr>
        <w:t xml:space="preserve">Global Debt Resolution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alignment with business strategies across </w:t>
      </w:r>
      <w:r>
        <w:rPr>
          <w:rFonts w:asciiTheme="minorHAnsi" w:hAnsiTheme="minorHAnsi" w:cstheme="majorHAnsi"/>
          <w:b/>
          <w:bCs/>
          <w:lang w:val="en-US"/>
        </w:rPr>
        <w:t xml:space="preserve">Lending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Credit Card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cohesive long-term technical vision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business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 on architectural best practices and systems thinking for </w:t>
      </w:r>
      <w:r>
        <w:rPr>
          <w:rFonts w:asciiTheme="minorHAnsi" w:hAnsiTheme="minorHAnsi" w:cstheme="majorHAnsi"/>
          <w:b/>
          <w:bCs/>
          <w:lang w:val="en-US"/>
        </w:rPr>
        <w:t xml:space="preserve">debt resolution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 approaches for collections and renegotiations using shared capabilities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system integrations and improve recovery efficiency and economics.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features for multi-market scalability, minimizing custom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configuration-driven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cycles and code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architecture discussions to ensure platform alignment across different business units.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migration of legacy systems into a reusable and compliant architecture while reducing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guidelines for code quality and maintainability, drastically minimizing production issues and enhancing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shared components across products to maximize adoption rates and platform reuse.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credit card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processing system, optimizing payment 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system architecture, fostering a stronger engineering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frequencies and reducing lead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for various financial services, ensuring compliance with regulatory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credit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domains.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cross-unit collaborations to enhance system capabilities for debt resolution,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performance improvements resulting in reduced latency for high-scale market launches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observability practices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leads to define technical requirements for a unified debt resolution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financial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loan management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RESTful APIs, improving integration between various financial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existing systems to modern frameworks, enhancing service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 and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architectural documentation for ongoing projects, ensuring clarity in technical direction.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with a high-quality product launch in less than a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