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machine learning professional with over 11 years of experience designing, deploying, and scaling ML systems. Proficient in Python, PyTorch, Spark, and Kubeflow, with a focus on architectural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multi-year technical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aligning with company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advanced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support critical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ML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engineering leaders to enhance modeling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Elevated </w:t>
      </w:r>
      <w:r>
        <w:rPr>
          <w:rFonts w:asciiTheme="minorHAnsi" w:hAnsiTheme="minorHAnsi" w:cstheme="majorHAnsi"/>
          <w:b/>
          <w:bCs/>
          <w:lang w:val="en-US"/>
        </w:rPr>
        <w:t xml:space="preserve">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through reviews and mentorship practices for senior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clarity on high-stakes technical decisions across teams to align project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robust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practices for critical ML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architectural direction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long-term health and availability of machine learning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 and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containerizing services to facilitate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clear documentation and held talks to disseminate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expertise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sophisticated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models to production while ensuring scalability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monitored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CI/CD implementations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for future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and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powered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experiments for model evaluation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engineering techniques improving model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PyTorch, XGBoost, Kubeflow,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Spark, 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MLflow,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Techniques</w:t>
      </w:r>
      <w:r>
        <w:rPr>
          <w:rFonts w:asciiTheme="minorHAnsi" w:hAnsiTheme="minorHAnsi" w:cstheme="majorHAnsi"/>
          <w:lang w:val="en-US"/>
        </w:rPr>
        <w:t xml:space="preserve">: Neural Networks, Transformers, Sequence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