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Enterprise Architect with over 11 years of experience in defining and governing technology architectures for healthcare. Proficient in cloud-native solutions, microservices architecture, AI integration, HIPAA compliance, and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governed the </w:t>
      </w:r>
      <w:r>
        <w:rPr>
          <w:rFonts w:asciiTheme="minorHAnsi" w:hAnsiTheme="minorHAnsi" w:cstheme="majorHAnsi"/>
          <w:b/>
          <w:bCs/>
          <w:lang w:val="en-US"/>
        </w:rPr>
        <w:t xml:space="preserve">enterprise technology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payer organizations,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best-fit architectural solutions for integration with third-party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initiatives on legacy systems, moving to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reviews and technical decision forums for both technical and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approved solution architectures,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healthcare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business executives to align technology decisions with strategic healthcare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architects regarding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adoption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enterprise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Proof of Concept developments for innovative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AI enablement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healthcare interoperability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technology trends and best practices in customer workshops, influencing strategic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architectural risks and gaps, recommending and implementing mitigation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owned critical components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event-driven patterns to improve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scopes and ensure on-time delivery of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automation scripts, ensuring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maintaining system functionality and supporting migrations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code quality improvements, conducting peer reviews regularly.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to ensure high availability and reliability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cloud infrastructure, setting up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documentation practices for system architectures and development guidelines.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MongoDB, NoSQL,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RESTful APIs, GraphQL, Microservices,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