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frontend development, specializing in React, React Native, GraphQL, and Expo. Proven track record in delivering high-quality applications and collaborating cross-functionally to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of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to translate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prototypes into high-quality, responsive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to ensure robust user experiences across mobile and web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unit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automate testing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design reviews to ensure adherence to modern design principles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APIs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tools like </w:t>
      </w:r>
      <w:r>
        <w:rPr>
          <w:rFonts w:asciiTheme="minorHAnsi" w:hAnsiTheme="minorHAnsi" w:cstheme="majorHAnsi"/>
          <w:b/>
          <w:bCs/>
          <w:lang w:val="en-US"/>
        </w:rPr>
        <w:t xml:space="preserve">TanStack 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fetching.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collaboration between engineering, design, and product teams to prioritize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industry trends to identify opportunities for application improvements and competitive advantages.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high standards of code quality through peer review processes and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specifications and architectural decisions for ongoing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components ownership initiatives, ensuring code quality and consistency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into web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to mentor junior developers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efficient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creating visually appealing and accessible UI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enhance team productivity and project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and contributed to improving coding standards and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translating designs into functional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robustness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refine UI components based on feedback and user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 components with attention to performance and user accessibility, resulting in improved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GraphQL, Expo, Jest,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UI/UX Design</w:t>
      </w:r>
      <w:r>
        <w:rPr>
          <w:rFonts w:asciiTheme="minorHAnsi" w:hAnsiTheme="minorHAnsi" w:cstheme="majorHAnsi"/>
          <w:lang w:val="en-US"/>
        </w:rPr>
        <w:t xml:space="preserve">: Figma, Material UI, Tailwind CSS, ShadCN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EAS,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Atomic Design Principles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