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 and architecture. Expertise in TypeScript, React, and scalable systems. Proven track record in delivering complex, high-performance web applications and mentoring junior engineers.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high-volume fulfillment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and set standards for code quality and maintainability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learning and sharing best practices in web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prioritize deliverables for new software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Tackle complex challenges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solutions and enhance user experience based on customer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code reviews and design discussions, ensuring adherence to industry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through effective design patterns and efficient data management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strategies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architecture discussions, working closely with product managers to shape product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 shared vision of product evolution, driving innovation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large-scale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enhancing geolocation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and define specifications for new features, enhancing component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encouraging collaboration within scrum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between front-end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state management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handling complex application states in real-time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analytics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sessions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workflows by implementing CI processes for automated testing and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enterprise-level software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addressing performance bottlenecks and improving application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and implement feedback, enhancing product quality and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processes, ensuring high standards and consistency in coding practices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improve user interface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technical debt by refactoring legacy code, promoting best practices during the software development lifecycle.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Express.js,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Monitoring</w:t>
      </w:r>
      <w:r>
        <w:rPr>
          <w:rFonts w:asciiTheme="minorHAnsi" w:hAnsiTheme="minorHAnsi" w:cstheme="majorHAnsi"/>
          <w:lang w:val="en-US"/>
        </w:rPr>
        <w:t xml:space="preserve">: Grafana, Prometheus, DataDog,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Agile, Scrum, TDD, BDD,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