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AI-powered applications and integrations. Skilled in developing full-stack systems, focusing on data pipelines, AI models, and user interfaces. Proven ability to deliver architectural solutions that address complex business challenges using Java, Python, and React.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internal AI-powered tooling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workflows across multiple internal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end-to-end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 deployment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optimize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 and messaging.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 user interfaces based on feedback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and engineering teams to define project roadmaps for internal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architect solutions to align with the company's technology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 software quality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analysis and optimization for existing tooling with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AI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business processes, focusing on practical usage and business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Iterate on solutions based on user feedback to maintain a user-centric approach in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AI integration and full-stack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a team building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connect frontend and backend services, enhancing the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thorough code reviews to ensure coding standards and best practices are maintained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internal tool that improved onboarding efficiency by over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assessing and improving learning techniques based on user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design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align development efforts with business goals and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real-time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managing data operations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 ceremonies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align tasks and deliverables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and extensibility through regular refactoring and best coding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Tools</w:t>
      </w:r>
      <w:r>
        <w:rPr>
          <w:rFonts w:asciiTheme="minorHAnsi" w:hAnsiTheme="minorHAnsi" w:cstheme="majorHAnsi"/>
          <w:lang w:val="en-US"/>
        </w:rPr>
        <w:t xml:space="preserve">: TensorFlow, PyTorch, APIs, Machine Learning, Natural Language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