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and scaling microservices architectures. Proficient in .NET Core, Node.js, TypeScript, and cloud platforms like AWS and GCP. Passionate about improving healthcare outcomes through cutting-edge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core backend systems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reliability of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direction for services, including migrating from V1 to V2 of the platform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critical backend initiatives such as authentication and lab integrations, ensuring seamless data flow to the data lake.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in distributed system design and effective use of </w:t>
      </w:r>
      <w:r>
        <w:rPr>
          <w:rFonts w:asciiTheme="minorHAnsi" w:hAnsiTheme="minorHAnsi" w:cstheme="majorHAnsi"/>
          <w:b/>
          <w:bCs/>
          <w:lang w:val="en-US"/>
        </w:rPr>
        <w:t xml:space="preserve">AI tooling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organizational engineering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improving incident response through effective use of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alerting.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Executive Leadership to shape technical strategy and roadmap for implementing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engineering runbooks to streamline processes and ensure operational continuity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automated testing practices to uphold code quality and stability for new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Steered the successful adoption of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enhancing deployment speed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performance tuning and resiliency measures for distributed microservices architecture, delivering high availability.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Co-owned multi-quarter technical roadmaps, aligning engineering efforts with business goals and stakeholder expectations.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enhancing the performance of web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engineering practices and development methodologies, fostering skills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third-party APIs to streamline data flow and improve user experience within learning platforms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20% improvement in application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that shaped the integration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frontend framework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 development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 and reducing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several feature developments, ensuring adherence to quality standards and timely delivery of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features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monitoring capabilities and system stability.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delivered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improved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and performed system upgrades, increasing overall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design optimal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ensuring seamless transitions and integration with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suites for applications, achieving a 99% code coverage over core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an agile team, completing tasks within defined sprints, and improving overall team efficiency by 15%.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Node.js, NestJS, React,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 Formats</w:t>
      </w:r>
      <w:r>
        <w:rPr>
          <w:rFonts w:asciiTheme="minorHAnsi" w:hAnsiTheme="minorHAnsi" w:cstheme="majorHAnsi"/>
          <w:lang w:val="en-US"/>
        </w:rPr>
        <w:t xml:space="preserve">: REST, HL7, FHIR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CI/CD, Infrastructure as Code,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Tools</w:t>
      </w:r>
      <w:r>
        <w:rPr>
          <w:rFonts w:asciiTheme="minorHAnsi" w:hAnsiTheme="minorHAnsi" w:cstheme="majorHAnsi"/>
          <w:lang w:val="en-US"/>
        </w:rPr>
        <w:t xml:space="preserve">: Datadog, Temporal,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