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developing robust software solutions. Expertise in Java, Spring Boot, RESTful APIs, and CI/CD. Proven ability to lead architecture decisions and mentor teams, driving technical excellence in cross-functional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hands-on technical leadership in software development for the Department of Veteran Affairs.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scalable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code management with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architectural discussions, influencing technical design decisions and system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complex APIs and integrations, ensuring high-quality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peer code reviews, ensuring adherence to coding standards and security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automated </w:t>
      </w:r>
      <w:r>
        <w:rPr>
          <w:rFonts w:asciiTheme="minorHAnsi" w:hAnsiTheme="minorHAnsi" w:cstheme="majorHAnsi"/>
          <w:b/>
          <w:bCs/>
          <w:lang w:val="en-US"/>
        </w:rPr>
        <w:t xml:space="preserve">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integration tests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and UX designers to align technical solutions with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CI/CD pipelines and enhance DevOps workflows for efficient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fostering a culture of technical excellence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and optimize existing products, focusing on performance and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consumed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teams, participating in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frameworks, improving deployment pipelines and product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in cloud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container orchestration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software systems, reducing technical debt and improving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third-party services to enhance application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innovative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NoSQL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high-quality implementation and adherence to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influencing future system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 to modern platforms and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100% adherence to project deadlines during software development cycles.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Maven,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Relational Databases,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GitHub,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