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backend development, specializing in Java, Spring Boot, and risk management systems. Proven ability to design and implement robust APIs and systems on AWS, enhancing security and efficiency in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rules engine for risk management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machine learning models to mitigate credit risk.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high-scale APIs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24/7 operations, ensuring robust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collaboration to define best practices for risk mitigation and software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improve delivery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observability solutions leveraging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system performance and user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fraud detection capabilities by implementing advanced A/B testing and experimentation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adherence to coding standards and effective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architectural compliance and functional requirements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service performance through JVM tuning, focusing on garbage collection and memory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risk assessment initiatives, influencing strategic architectural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risk policy implementations in production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code reviews to uphold quality standards in software construction.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integrated microservices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existing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reducing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AWS technologies such as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Aurora 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 optimize data flows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CI/CD workflows using </w:t>
      </w:r>
      <w:r>
        <w:rPr>
          <w:rFonts w:asciiTheme="minorHAnsi" w:eastAsia="Times New Roman" w:hAnsiTheme="minorHAnsi" w:cs="Times New Roman"/>
          <w:b/>
          <w:bCs/>
          <w:lang w:val="en-US"/>
        </w:rPr>
        <w:t xml:space="preserve">Gradle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ensuring timely delivery of risk management components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best practices and improvement suggestions based on domain knowledge.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risk assessment tools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mitigating credit and fraud risks.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production systems, utilizing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Gradle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bug fixing and performance tuning of existing applications to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streamlining deployment processes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integration testing to ensure proper functionality across all risk management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application performance by optimizing existing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JUnit,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Aurora RDS,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CI/CD, Message Queues,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Grafana, Prometheus, Elastic Stack, CloudWatch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