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development. Proficient in Java, Spring, React, Node.js, and AWS with a strong focus on code quality and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incorporate CI/CD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architecture for new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a 95% code coverage rate.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 unified logging framework leveraging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infrastructure-as-code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strategy meetings, influencing roadmaps and prioritization.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key features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providing guidance on coding standards and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profiling and refactoring legacy codes,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microservices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established quality assurance processes, significantly reducing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 meetings.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 for performance and reliability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integrated third-party APIs to extend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codebase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implement UI layouts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times by optimizing backend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