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scalable systems. Proficient in Java, Spring Boot, and Kafka. Passionate about blockchain technology and driving technical designs in a fast-paced agile environment.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robust back-end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 17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fund management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 microservice environment leveraging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Helm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APIs with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for seamless fund integration and customer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event-driven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asynchronous processing, improving system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unit and integration tests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plan and deliver features efficiently in an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interactions using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retrieval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software development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Driven adoption of </w:t>
      </w:r>
      <w:r>
        <w:rPr>
          <w:rFonts w:asciiTheme="minorHAnsi" w:hAnsiTheme="minorHAnsi" w:cstheme="majorHAnsi"/>
          <w:b/>
          <w:bCs/>
          <w:lang w:val="en-US"/>
        </w:rPr>
        <w:t xml:space="preserve">CQRS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architecture, enabling efficient command and query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architecture discussions, impacting the direction of new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security design reviews, enhancing the operational stability of the platform.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web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transaction processing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message queuing and system architecture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best coding practices and design patterns, fostering a collaborative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enable seamless payment integrations for various business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optimizing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planning sprints and delivering key features on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integration tests ensuring system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engineering teams to articulate technical designs and feature requirements.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fast-paced environment, ensuring high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from legacy systems, improving data management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architectural review of new components to support evolving product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ensured efficient data flows and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front-end teams to align back-end services with UI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maintainability and performance, leading to a 30% reduction in response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Project Reactor, Kafka, Event Sourcing, CQRS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Helm, Argo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Postman,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Maven,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