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TypeScript, React, and AWS. Proven expertise in building scalable applications and efficient cloud architectures. Committed to enhancing healthcare through technology and data-driven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core services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Xealth's EHR integration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deploying microservices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container orchestration tools like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optimize workflows, integrating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interface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system design discussions to elevate engineering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efficiency and streamline coding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backend services to manage patient notifications and engagement workflows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patient education content providers, ensuring reliable data exchange and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monitoring and logging across distributed services using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development and cloud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sessions to improve team familiarity with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microservices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various components in the learning management system, driving front-end enhancements with </w:t>
      </w:r>
      <w:r>
        <w:rPr>
          <w:rFonts w:asciiTheme="minorHAnsi" w:eastAsia="Times New Roman" w:hAnsiTheme="minorHAnsi" w:cs="Times New Roman"/>
          <w:b/>
          <w:bCs/>
          <w:lang w:val="en-US"/>
        </w:rPr>
        <w:t xml:space="preserve">Tailwind.css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application architecture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backend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effectively with product and UX teams to create user-centered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enhancements, improving deployment frequency and reducing lead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across applications to enhance observability and troubleshooting.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frameworks,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build a customer-facing application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of web applications, ensuring functionality meets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applying feedback to improve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REST APIs with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serve dynamic content to front-end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NestJS, Tailwind.css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Development</w:t>
      </w:r>
      <w:r>
        <w:rPr>
          <w:rFonts w:asciiTheme="minorHAnsi" w:hAnsiTheme="minorHAnsi" w:cstheme="majorHAnsi"/>
          <w:lang w:val="en-US"/>
        </w:rPr>
        <w:t xml:space="preserve">: RESTful APIs, GraphQL, Event-driven architectures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