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scalable systems with Scala, React, GCP, Pub/Sub, and BigQuery. Proven expertise in distributed systems architecture and quality code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microservices, ensuring robust performance and scalability for financial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teams to iterate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interfaces for financial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B2B solutions with partners using </w:t>
      </w:r>
      <w:r>
        <w:rPr>
          <w:rFonts w:asciiTheme="minorHAnsi" w:hAnsiTheme="minorHAnsi" w:cstheme="majorHAnsi"/>
          <w:b/>
          <w:bCs/>
          <w:lang w:val="en-US"/>
        </w:rPr>
        <w:t xml:space="preserve">OpenAPI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specifications, boosting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rapid deployment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improving code quality and maintainability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performance, implementing optimizations that reduced latency during peak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Data teams to develop system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feature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data models for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supporting analytical needs for product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decisions that enhanced application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knowledge sharing and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seamless data integration with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disaster recovery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profiling and optimization methods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meetings contributing to application architecture and workflow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processes, reducing manual QA efforts by 30%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microservices architecture, enhancing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product offerings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enforcing coding standards and best practices in a fast-paced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enhancing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code coverage for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Java, JavaScript, TypeScript,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Play Framework, Express.js, jQuery,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 (GCP), Docker, Kubernetes, Terraform,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BigQuery,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OpenAPI, Agile, Microservices, Scrum,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