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11+ years in web development. Expertise in React, TypeScript, Node.js, Redux, and CSS-in-JS. Proven track record in building scalable applications and optimizing performance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developing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the design of reusable component libraries with advanced theming using </w:t>
      </w:r>
      <w:r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CSS-in-JS.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CI/CD pipelines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and design teams to convert business requirements into technical solutions for external stakeholder portals.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Node.js/NestJS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API performance and comply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internationalized features to support multiple markets and languages seamlessly with </w:t>
      </w:r>
      <w:r>
        <w:rPr>
          <w:rFonts w:asciiTheme="minorHAnsi" w:hAnsiTheme="minorHAnsi" w:cstheme="majorHAnsi"/>
          <w:b/>
          <w:bCs/>
          <w:lang w:val="en-US"/>
        </w:rPr>
        <w:t xml:space="preserve">i18next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Introducing observability metrics for performance instrumentation and data-driven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secure and compliant solutions following industry best practices and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developers, promoting code quality, and architectural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technical discussions and decisions that influence architectural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Performing design reviews and providing feedback to ensure high-quality code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feature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 (RTK)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accessibility standards (WCAG, ARIA) to improve user experience for diverse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implementations,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component libraries enabling rapid prototyping for internal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API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unit testing and code coverage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frontend optimizations and best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user-friendly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and integration efforts for legacy systems,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accessibility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craft clean and maintainable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 as a team member.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applications, impacting hundreds of users, enhancing product offerings.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Redux (RTK), styled-components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APIs, i18next, Micro-frontends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Component Libraries, User-Centric Design,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