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capturing high-impact product initiatives in healthcare. Expertise in TypeScript, Ruby, and Python, driving technical standards and software architecture to deliver innovative solutions in mental health tech.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for a new mental health platform,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back-end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influencing product direction through technical leadership and innovative design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development of high-quality, scalable software architecture aligned with company goals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coding practices and framework utilization, improving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system performance, identifying optimization opportunities for data handling and application scaling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rigorous testing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elevating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timelines, applying agile methodologies to ensure timely delivery of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regular cross-team meetings to align on priorities and drive project momentum.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risk assessments on project deliverables, maintaining focus on overall mission impact.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Cultivated understanding of users' needs by engaging with stakeholders, ensuring product relevance and effectiveness.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functionality in mental health education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overseeing component ownership and ensuring best practices in software development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PMs and designers to validate technical implementation against user requirements, maximizing product impact.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continuously improving application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performance metrics by analyzing user feedback and optimizing back-end processes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decision-making for scalable solutions that cater to future growth and integration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relationships with health tech partners to integrate APIs seamlessly, improving service delivery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practices, prioritizing sprints and delivering high-value features aligned with strategic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healthcare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maintenance and upgrades to ensure performance and security compliance in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refine user interfaces, improving overall user satisfaction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migration projects from legacy systems to modern frameworks, ensuring system reliability and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efficient, maintainable code for application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structures.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completion of project deliverables ahead of schedule, meeting client expectations through effective project management.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Ruby, Python, JavaScript,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Rails, React, Node.js, Express,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GitHub Actions,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GCP, Heroku, Jira, Confluence, Slack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Mocha, Cypress,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