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professional experience in Java, Spring Boot, Docker, and AWS. Proven expertise in building robust software ecosystems and enhancing core libraries for cross-functional teams. Passionate about driving financial inclusion through technology.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core libraries leveraging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internal usage across multiple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security features implementing data encryption and observability in core libraries for the application ecosystem.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 an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 to ensure technical requirements aligned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and facilitated knowledge sharing through documentation and internal training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focusing on code quality and industry best practices, promoting a culture of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Debugged complex issues, working closely with application developers and platform teams to identify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strategies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of critical libraries through profiling and refactoring, increasing execution speed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continuous integration and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 monitoring solution to enhance observability of core libraries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architectural decisions, aligning with overall strategy and organizational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internal APIs, integrating them seamlessly with external services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efforts for major project refactoring, enhancing system scalability and code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 development and knowledge growth within the engineering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and integration testing, achieving a code coverage rate of over 85% for critical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define technical requirements and ensure solutions met user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ceremonies, including sprints and retrospectives, to improve team dynamics and project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microservice components, delivering features that improved application functionality and user experience.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and enhancements for software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internal libraries catering to diverse application needs across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software migrations and upgrades, minimizing system downtime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ensuring alignment of technology goals with business objectives.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debugging sessions to resolve issues, enhancing overall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high-quality code with adherence to testing standards, achieving successful deployments on first attempts.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JUnit, Selenium, EventStoreDB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GitHub,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ArgoCD, Agile, TDD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