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TypeScript, HTML/CSS, Postgres, and software architecture. Proven track record in delivering scalable solutions for educational tools. Strong focus on accessibility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new features, improving product usability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meetings to align on project scope and deliverables for educational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reviewed user interface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intuitive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on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user requirements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production-ready features, maintaining 99% uptime through robust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user communities on platforms like Discord to gather feedback and identify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accessibility initiatives ensuring compliance with WCAG standards in all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strategic plans to enter new markets beyond K-12 education in the upcoming year.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mobile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design patterns to improve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improving query performance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development practices resulting in streamlined project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team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components to modern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upgrades, ensuring minimal downtime and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educational tools impacting 1 million users annually.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