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11+ years of experience in backend development and AI technologies. Proficient in building scalable solutions using Python, TensorFlow, Docker, Kubernetes, and AWS. Proven history in developing robust architectures and APIs for innovative financial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internal efficiency and customer support at Airwallex.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resilient APIs and service architecture for AI-driven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deliver AI solutions for diverse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coding standards and code reviews to improve </w:t>
      </w:r>
      <w:r>
        <w:rPr>
          <w:rFonts w:asciiTheme="minorHAnsi" w:hAnsiTheme="minorHAnsi" w:cstheme="majorHAnsi"/>
          <w:b/>
          <w:bCs/>
          <w:lang w:val="en-US"/>
        </w:rPr>
        <w:t xml:space="preserve">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containerization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orchestration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CI/CD pipelines with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accelerate delivery cycles for AI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and load testing for AI applications to ensure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the integration of machine learning workflows into existing software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ensuring robust project management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engaged in identifying and resolving architectural challenges in AI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focusing on best practices in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architectures for customer-facing products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performance and scalability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focused on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enrich product features, improving overall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software solutions that aligned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and functionalities for core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robust internal systems, enhancing operational efficiency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design, and coding of large-scale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troubleshooting and debugging to resolve production issues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achieving a code coverage of over 85% in critical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Flask, Django, Spring Boot,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RabbitMQ,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JMeter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CircleCI, Slack,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