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development using Ruby on Rails, React, and TypeScript. Expert in API development, system architecture, and mentorship, focusing on enhancing user experience and reducing technical debt.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architectural redesign of the borrower refinancing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develop and deploy highly scalable APIs integrating with partner financial institutions.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JavaScript frameworks, improving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the development and deployment process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requirements and improve user engagement through iterative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testing and deployment processes to enhance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ensure high-quality standards and compliance with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efforts in refactoring legacy code, reducing technical debt by 30% and improving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monitoring tools to enhance observability and proactively address issues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migration initiative from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Hotwire Stimulus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 such as sprint planning and retrospectives, optimizing team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for consumer-facing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providing guidance on component architecture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feedback sessions, translating insights into actionable frontend improvements in the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integrations with third-party services, ensuring reliability and security in financial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and database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15% increase in data retrieval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creating the technical roadmap for new projects, aligning with business goals and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efforts to migrate legacy systems to modern technologies, ensuring seamless functionality during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to ensure software reliability,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financial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5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3.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a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owners to gather requirements and translate them into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improving connectivity with front-end applications and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scrum meetings, enhancing communication and workflow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Hotwire Stimulus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CircleCI,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GraphQL, API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