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full-stack development. Proficient in AWS, Pega, Java, JavaScript, and Agile methodologies. Expertise in developing scalable software solutions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high performance and security based on IRS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architecture and implementation for the </w:t>
      </w:r>
      <w:r>
        <w:rPr>
          <w:rFonts w:asciiTheme="minorHAnsi" w:hAnsiTheme="minorHAnsi" w:cstheme="majorHAnsi"/>
          <w:b/>
          <w:bCs/>
          <w:lang w:val="en-US"/>
        </w:rPr>
        <w:t xml:space="preserve">One Big Beautiful Bill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(OB3) Tax Credit Solution, improving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secure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in project management, significantly improving sprint planning and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IRS 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Enterprise 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flow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including design specifications, user guides, and deployment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tax credit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enhancing code quality and facilitating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user stories and technical requirements for tax credit workflows, leading to timely delivery in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deployments, troubleshooting incidents and optimizing application performance through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federal accessibility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UI development for all delivered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focusing on tax credit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capabilities,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interacting with various IRS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ECO Portal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Case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and performing vulnerability assessments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updates and collaborating to refine backlogs for efficient sprint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continuous monitoring and refactoring of legacy code, achieving a 20% increase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tests and integration tests to secure code base reliability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a microservice-based architecture, improving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for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hosted solutions, optimizing performance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applications through effective debugging and issue resolution, achieving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collaboration and efficient management of codebases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leading to a 15% decrease in latency for high-traffic periods.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.NET,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Pega, React, Angular, Node.js, Express,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GovCloud, CI/CD,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Cucumber,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Docker,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