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Architect with 11+ years of experience in designing and implementing secure cloud infrastructures. Proficient in AWS, Terraform, CloudFormation, and CI/CD practices, driving compliance and system resiliency.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 components for secure, scalable solutions, including </w:t>
      </w:r>
      <w:r>
        <w:rPr>
          <w:rFonts w:asciiTheme="minorHAnsi" w:hAnsiTheme="minorHAnsi" w:cstheme="majorHAnsi"/>
          <w:b/>
          <w:bCs/>
          <w:lang w:val="en-US"/>
        </w:rPr>
        <w:t xml:space="preserve">VPCs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solutions,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configuration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in deployment and monitoring tasks.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CloudFormation,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FedRAMP, NIST 800-53, Vulnerability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Monitoring, Alerting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Configuration Management</w:t>
      </w:r>
      <w:r>
        <w:rPr>
          <w:rFonts w:asciiTheme="minorHAnsi" w:hAnsiTheme="minorHAnsi" w:cstheme="majorHAnsi"/>
          <w:lang w:val="en-US"/>
        </w:rPr>
        <w:t xml:space="preserve">: Ansible,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CI/CD, Infrastructure as Code, Web 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