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architecture and delivery of scalable solutions. Proficient in React, TypeScript, AWS, Node.js, and Kafka. Expert in creating high-performance systems for global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enterprise architecture principles as part of a global architecture team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align architectural designs with strategic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and code reviews,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event-driven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teams through </w:t>
      </w:r>
      <w:r>
        <w:rPr>
          <w:rFonts w:asciiTheme="minorHAnsi" w:hAnsiTheme="minorHAnsi" w:cstheme="majorHAnsi"/>
          <w:b/>
          <w:bCs/>
          <w:lang w:val="en-US"/>
        </w:rPr>
        <w:t xml:space="preserve">development lifecycles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architectural roadmaps and facilitated consensus among engineering and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engineers, promoting technology best practices and effective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to enhance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end-to-end project delivery,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backend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resilient architectures integrating internal and external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new initiatives, driving the adoption of advanced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development of complex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architectural best practices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optimizing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requirements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existing platforms, enhancing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the architectural discussions shaping the product roadmap.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performed system migrations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front-end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interface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services by writing optimized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collaborative code reviews to enforce coding standards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with measurable impacts, including a 30% increase in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Kafka,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Oracle,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Event-Driven Architecture, Service-Oriented Architecture, Application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