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Medical Science Liaison with over 11 years in the pharmaceutical industry. Proficient in building relationships with Key Medical Experts, utilizing data insights to inform clinical strategies and ensure best practices in patient care. Familiar with neuropsychiatry and committed to enhancing treatment outcomes through strategic medical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Key Medical Experts to foster relationships, enhancing confidence in Biogen’s </w:t>
      </w:r>
      <w:r>
        <w:rPr>
          <w:rFonts w:asciiTheme="minorHAnsi" w:hAnsiTheme="minorHAnsi" w:cstheme="majorHAnsi"/>
          <w:b/>
          <w:bCs/>
          <w:lang w:val="en-US"/>
        </w:rPr>
        <w:t xml:space="preserve">therapies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strategic stakeholder plans to align medical insights with departmental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Veeva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capturing and reporting medical insights, ensuring high accuracy in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in-depth scientific presentations to healthcare professionals, ensuring clear communication of clinical narratives.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support medical initiatives aligned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Navigated medical resources in office settings, delivering value-added initiatives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reported on key performance indicators related to KME engagement and medical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designing and implementing internal training for enhanced product knowledge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MSLs on therapeutic areas and effective communication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initiatives for diversity and inclusion within the workforce, enhancing team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compliance with pharmaceutical regulations and ethical standards in stakeholder engagements.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key liaison between clinical development and healthcare providers to enhance product understanding.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effective communication strategies and scientific expertise in </w:t>
      </w:r>
      <w:r>
        <w:rPr>
          <w:rFonts w:asciiTheme="minorHAnsi" w:eastAsia="Times New Roman" w:hAnsiTheme="minorHAnsi" w:cs="Times New Roman"/>
          <w:b/>
          <w:bCs/>
          <w:lang w:val="en-US"/>
        </w:rPr>
        <w:t xml:space="preserve">neuropsychiatry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engaging materials for healthcare providers to explain Biogen’s clinical data and therapeutic impacts.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high-impact presentations at medical conferences and local healthcare events, showcasing </w:t>
      </w:r>
      <w:r>
        <w:rPr>
          <w:rFonts w:asciiTheme="minorHAnsi" w:eastAsia="Times New Roman" w:hAnsiTheme="minorHAnsi" w:cs="Times New Roman"/>
          <w:b/>
          <w:bCs/>
          <w:lang w:val="en-US"/>
        </w:rPr>
        <w:t xml:space="preserve">clinical research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teams to streamline information sharing and improve patient care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and educational sessions for healthcare professionals to discuss </w:t>
      </w:r>
      <w:r>
        <w:rPr>
          <w:rFonts w:asciiTheme="minorHAnsi" w:eastAsia="Times New Roman" w:hAnsiTheme="minorHAnsi" w:cs="Times New Roman"/>
          <w:b/>
          <w:bCs/>
          <w:lang w:val="en-US"/>
        </w:rPr>
        <w:t xml:space="preserve">pharmaceutical therapies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CRM systems to track interactions and gather insights for continuous process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long-term strategic planning for clinical engagement initiatives with measurable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components of </w:t>
      </w:r>
      <w:r>
        <w:rPr>
          <w:rFonts w:asciiTheme="minorHAnsi" w:eastAsia="Times New Roman" w:hAnsiTheme="minorHAnsi" w:cs="Times New Roman"/>
          <w:b/>
          <w:bCs/>
          <w:lang w:val="en-US"/>
        </w:rPr>
        <w:t xml:space="preserve">digital health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gather patient data for better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clinical data systems, improving overall data quality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healthcare professionals to understand their needs and relay insights back to R&amp;D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compliance efforts regarding pharmaceutical law and ethical marketing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records of stakeholder interactions and findings on </w:t>
      </w:r>
      <w:r>
        <w:rPr>
          <w:rFonts w:asciiTheme="minorHAnsi" w:eastAsia="Times New Roman" w:hAnsiTheme="minorHAnsi" w:cs="Times New Roman"/>
          <w:b/>
          <w:bCs/>
          <w:lang w:val="en-US"/>
        </w:rPr>
        <w:t xml:space="preserve">medical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deliver effective and timely scientific communication.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Core Competencies</w:t>
      </w:r>
      <w:r>
        <w:rPr>
          <w:rFonts w:asciiTheme="minorHAnsi" w:hAnsiTheme="minorHAnsi" w:cstheme="majorHAnsi"/>
          <w:lang w:val="en-US"/>
        </w:rPr>
        <w:t xml:space="preserve">: Medical Science Liaison, Clinical Strategy, Key Medical Expert Engagement, Stakeholder Relationships, Patient Care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Scientific Expertise</w:t>
      </w:r>
      <w:r>
        <w:rPr>
          <w:rFonts w:asciiTheme="minorHAnsi" w:hAnsiTheme="minorHAnsi" w:cstheme="majorHAnsi"/>
          <w:lang w:val="en-US"/>
        </w:rPr>
        <w:t xml:space="preserve">: Neuropsychiatry, Clinical Research, Pharmaceutical Development, Healthcare Systems, Patient Advocacy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Skills</w:t>
      </w:r>
      <w:r>
        <w:rPr>
          <w:rFonts w:asciiTheme="minorHAnsi" w:hAnsiTheme="minorHAnsi" w:cstheme="majorHAnsi"/>
          <w:lang w:val="en-US"/>
        </w:rPr>
        <w:t xml:space="preserve">: Patient Communication, Scientific Presentation, Cross-functional Collaboration, Stakeholder Engagement, Empathetic Listening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Technologies</w:t>
      </w:r>
      <w:r>
        <w:rPr>
          <w:rFonts w:asciiTheme="minorHAnsi" w:hAnsiTheme="minorHAnsi" w:cstheme="majorHAnsi"/>
          <w:lang w:val="en-US"/>
        </w:rPr>
        <w:t xml:space="preserve">: Veeva, CRM Systems, Digital Health Tools, Medical Databases, Data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Ethics &amp; Compliance</w:t>
      </w:r>
      <w:r>
        <w:rPr>
          <w:rFonts w:asciiTheme="minorHAnsi" w:hAnsiTheme="minorHAnsi" w:cstheme="majorHAnsi"/>
          <w:lang w:val="en-US"/>
        </w:rPr>
        <w:t xml:space="preserve">: Pharmaceutical Law, Regulatory Compliance, Clinical Trial Regulations, Industry Standards, Patient Safety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