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Security Engineer with over 11 years of experience in infrastructure security. Expertise in cloud-native security, AI safeguarding, identity and access management, and threat detection. Proven ability to design security architectures and lead incident response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led POLYWOOD’s infrastructure security strategy, ensuring robust protection against emerging threats in a manufacturing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enterprise security controls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endpoint protection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AI safeguarding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initiatives, addressing risks unique to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and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Identified, assessed, and mitigated security threats proactively, reinforcing detection and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security incident response efforts from detection through resolution, improving response time by implementing new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IT and engineering teams to integrate security into processes and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security policies and compliance frameworks that align with corporate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evaluated security posture, controls, and operational resilience to adapt to emerging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related to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security audits and assessments to ensure adherence to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infrastructure security framework for Roundtable Learning, focusing on securing cloud environments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security incidents from detection through analysis and resolution, improving incident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security controls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threat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security monitoring and incident response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regarding security practices and secure code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compliance audits and developed policies for security standards in line with industry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recommended security tools to enhance infrastructure defenses.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embed security into software development lifecycles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security measures at Accipiter Labs, focusing on enhancing network and application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ensure secure deployment practices in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vulnerability assessments and penetration tests,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security documentation for infrastructure processes to support compliance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while collaborating on code reviews and security patches.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testing plans for software features under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Infrastructure Security, SecOps, Incident Response, Identity and Access Management, Threat Detection, Security Policies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Cloud-Native Architecture, Container Security,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Splunk, ELK Stack, Terraform,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Penetration Testing, Vulnerability Assessment, Static Code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