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experience in cloud-native architecture, specializing in Kubernetes, Terraform, CI/CD practices, and MLOps. Proven expertise in building scalable AI/ML infrastructures with a focus on observability, automation, and client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modular infrastructure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development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targeting large-scale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performance monitoring frameworks for deployed models enhancing visibility and cost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actively to open-source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promoting community engagement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ensuring infrastructure aligns with the organization's goals for data sovereignty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 for customized model serving and experimentation tracking, facilitating client autonomy over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 privacy and security compliance within sovereign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technologies to improve AI deployment processes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improving availability and scalability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principles and coding best practices to nurture talent and ensure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resources, allowing for reproducible and version-controlled infrastructure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testing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setup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operations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and improvements, enhancing efficiency and reliability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for cross-team projects enhancing integration and collaboration.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maintaining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enhancing security practices for cloud environments in collaboration with the security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optimization for applications deployed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discussions to refine SDLC processes, contributing insights from hands-on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contributing to a system uptime of over 99% for key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Helm, Docker,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lang w:val="en-US"/>
        </w:rPr>
        <w:t xml:space="preserve">: Kubeflow, MLflow, Airflow, PyTorch,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AWS, GCP, Azure,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