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engineering professional with over 11 years of experience in AI, cloud development, and ML engineering. Proven track record in system design, enterprise-scale AI architecture, and implementation of responsible AI practices. Engaged in leading teams, optimizing Natural Language Processing workflows, and driving innovation in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end-to-end implementation of enterprise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RAG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employing semantic search and complex retrieval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rigorous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ensuring compliance and governance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robust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business needs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AI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responsible </w:t>
      </w:r>
      <w:r>
        <w:rPr>
          <w:rFonts w:asciiTheme="minorHAnsi" w:hAnsiTheme="minorHAnsi" w:cstheme="majorHAnsi"/>
          <w:b/>
          <w:bCs/>
          <w:lang w:val="en-US"/>
        </w:rPr>
        <w:t xml:space="preserve">AI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safety and bias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evaluation frameworks for assessing </w:t>
      </w:r>
      <w:r>
        <w:rPr>
          <w:rFonts w:asciiTheme="minorHAnsi" w:hAnsiTheme="minorHAnsi" w:cstheme="majorHAnsi"/>
          <w:b/>
          <w:bCs/>
          <w:lang w:val="en-US"/>
        </w:rPr>
        <w:t xml:space="preserve">LLM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guardrails against prompt injection and adversarial attacks in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designs and integration guides for team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AI functionalities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while boosting team productivity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capabilities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learning management systems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metadata management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multi-agent systems and solved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challenges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machine learning models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performance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 within 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better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continuous monitoring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resulting in a 15%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CircleCI,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Hugging Face Transformers, LangSmith, Weights &amp; Biases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