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robust web applications using Laravel, Vue.js, TypeScript, and AWS. Proven expertise in architecture and high-performance systems with a focus on code quality and user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for over 9,000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made strategic decisions on endpoint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dynamic SPAs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coding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CI/CD pipelines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implemented performance improvements, reducing load times by over 30% on critical paths.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modern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operations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through optimized queries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efficient caching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Linear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on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testing standards, increasing code coverage by 25% through automated tests.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Tailwind CSS,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GitHub, Continuous Integration,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Software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Linear, Loom, Agile, Project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