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11 years of experience in building scalable applications using React, TypeScript, Node.js, and Express. Proven track record of leading the design and implementation of digital solutions within the nuclear sector, enhancing safety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the architecture and development of a </w:t>
      </w:r>
      <w:r>
        <w:rPr>
          <w:rFonts w:asciiTheme="minorHAnsi" w:hAnsiTheme="minorHAnsi" w:cstheme="majorHAnsi"/>
          <w:b/>
          <w:bCs/>
          <w:lang w:val="en-US"/>
        </w:rPr>
        <w:t xml:space="preserve">full-stack application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nuclear safety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AI-based features into existing applications, enhancing real-time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resolve complex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performance by 30% through proactive code quality initiatives and refactoring.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security assessments to ensure data safety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maintainability and scalability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reviews to drive the evolution of technical solutions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and training materials for end users and technical staff.</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industry best practices and high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application, ensuring alignment with client requirements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best practices in coding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application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deliver intuitive user interfaces and seamless navigation.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requirements and translate them into actionable development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dev/test environments, simplifying deployment processes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20% reduction in load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projects as a </w:t>
      </w:r>
      <w:r>
        <w:rPr>
          <w:rFonts w:asciiTheme="minorHAnsi" w:eastAsia="Times New Roman" w:hAnsiTheme="minorHAnsi" w:cs="Times New Roman"/>
          <w:b/>
          <w:bCs/>
          <w:lang w:val="en-US"/>
        </w:rPr>
        <w:t xml:space="preserve">full-stack developer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the team’s coding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communication between frontend and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sessions to resolve critical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implementing best practices in data handling and user authentication.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Jenkins,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 APIs, GraphQL, HTML5, CSS3, Bootstrap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