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in building and enhancing modern applications using React, TypeScript, Node.js, GraphQL, and AWS. Skilled in delivering robust solutions through automated testing and CI/CD practices, while ensuring secure coding principles.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end-to-end development of cloud-native applications and managed deployments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established coding standards to enhance code quality and maintainability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CI/CD pipelines, improving deployment speed by 30%, leveraging </w:t>
      </w:r>
      <w:r>
        <w:rPr>
          <w:rFonts w:asciiTheme="minorHAnsi" w:hAnsiTheme="minorHAnsi" w:cstheme="majorHAnsi"/>
          <w:b/>
          <w:bCs/>
          <w:lang w:val="en-US"/>
        </w:rPr>
        <w:t xml:space="preserve">AWS 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Instrumented applications for observability with metrics, tracing, and logging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95% code coverage in critical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drive feature development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secure coding and event-driven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parameters within the application by implementing OWASP security practices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significant performance improvements by optimizing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setting up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provisioning and maintaining the AWS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handling API requests and data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transition to cloud-native architectures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in skills related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focusing on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deliver accessible user interfaces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CI/CD workflows that streamlined application releases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refine event-driven system designs, focusing on performance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systems by diagnosing issues and optimizing performance with observability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front-end development of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responsiveness and reliability for user 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variations between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customizing for application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architectures, improving throughput and reducing latencies in existing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verify the functionality of components,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testing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refine specifications for new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Express.js,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EC2, AWS CloudFormation,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CI/CD,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Webpack,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