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11 years in developing complex web applications using React, TypeScript, GraphQL, and Tailwind CSS. Proven ability to lead technical initiatives and elevate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multi-team initiatives, enhancing the development workflow through improved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new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a seamless data-fetching experience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styling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interface responsiveness and aesthetic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clean coding standards,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define precise API specifications, resulting in efficient integration and reduced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JavaScript frameworks, fostering skill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 design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component reusability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thorough testing methodologies,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within EST time zone, effectively managing schedules to accommodate cross-team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component-driven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and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 comprehensive component library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team-wide usage of standardized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cross-browser compatibility and accessibility adherence in all developed projects, leveraging testing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pipeline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automated testing and deployments for streamlined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emphasizing clean code and maintainability practices for sustained technical debt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project planning sessions, aligning frontend development efforts with overall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ensuring continued performance and reliability during transitions to modern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stability and reducing bug occurrences.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requirements into functional web components successfully.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applications to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management, facilitating smoother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 times through performance optimizations and code refactoring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Tailwind CSS,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TypeORM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Playwright,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Storybook,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