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Frontend Engineer with over 11 years in building high-quality UIs with React, TypeScript, and GraphQL. Proven expertise in frontend architecture and collaborating cross-functionally to deliver AI-powered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Elevated frontend architecture for AI features, promoting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Aligned AI implementations with application standards, enforcing component reuse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complex frontend initiatives, ensuring high quality and performance of UI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frontend engineers, advocating for architectural excellence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standards for frontend, utilizing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teams, translating concepts into functional and scalable UIs.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cross-team efforts to enhance shared component libraries and design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analytics and instrumentation practices to measure user interactions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accessibility compliance across all user interfaces, leveraging tools for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AI-powered experiences in production, collaborating with backend and ML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continuous improvements in the frontend architecture, ensuring excellence.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frontend features,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user-centered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UI component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design system, ensuring consistency in UI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A/B testing methodologies to guide product decisions, enhancing user engagement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and designers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interface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code quality and performance across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asset management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quality assurance through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 smooth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frontend applications, focusing on performance optimizations and responsive design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adherence to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interconnect frontend and backend systems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enhancing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that improved team workflows, resulting in a reduction of turnaround time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GraphQL, Next.js, Tailwind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Component Systems</w:t>
      </w:r>
      <w:r>
        <w:rPr>
          <w:rFonts w:asciiTheme="minorHAnsi" w:hAnsiTheme="minorHAnsi" w:cstheme="majorHAnsi"/>
          <w:lang w:val="en-US"/>
        </w:rPr>
        <w:t xml:space="preserve">: Atomic Design, Design Systems, Figma, Wireframes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Testing Library,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Datadog, Git, Webpack, Storybook,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 xml:space="preserve">: RESTful APIs, GraphQL, Service-oriented architecture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