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building high-quality applications. Expert in React, TypeScript, GraphQL, and design systems, focused on frontend excellence and scalable UI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frontend solutions for multiple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establish frontend standards and improve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evolution of the shared design system ensuring consistency across UIs.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integrate AI features seamlessly into the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that aligned with usability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tracking analytics for UI and user behavior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accessibility guidelines throughout frontend applications for broader 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codebases through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UX feedback into iterative frontend design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the design system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capability in technical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frontend applications for dynamic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UI components with a focus 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for UI enhancements to inform product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wireframes and prototypes in alignment with product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development, enhancing the usability of educational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 integrations to streamline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seamless transitions during tech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designs into production-ready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advocate for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actionable metrics to improve application performance and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Atomic Design, Component Architecture, Design Systems, UI Patterns,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Jenkins, CI/CD, Webpack,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Design</w:t>
      </w:r>
      <w:r>
        <w:rPr>
          <w:rFonts w:asciiTheme="minorHAnsi" w:hAnsiTheme="minorHAnsi" w:cstheme="majorHAnsi"/>
          <w:lang w:val="en-US"/>
        </w:rPr>
        <w:t xml:space="preserve">: Figma, Wireframing, Agile, Scrum, Team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