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delivering scalable web applications using React, TypeScript, GraphQL, and Redux. Expertise in improving frontend architecture, performance optimization, and modern testing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HQ applications, enhancing usability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architecture for modularity and performance improvements in domain-driven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data-fetching patterns with </w:t>
      </w:r>
      <w:r>
        <w:rPr>
          <w:rFonts w:asciiTheme="minorHAnsi" w:hAnsiTheme="minorHAnsi" w:cstheme="majorHAnsi"/>
          <w:b/>
          <w:bCs/>
          <w:lang w:val="en-US"/>
        </w:rPr>
        <w:t xml:space="preserve">TanStack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began adoption of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quality assurance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and contractors, providing technical guidance on code standards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state management practices employing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 in state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modern tooling such as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optimization initiatives, achieving significant reductions in bundle sizes and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cross-platform UI components for future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stakeholder meetings, aligning engineering outputs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owned key components in a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frontend workflows,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styling.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REST APIs and 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automated testing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validate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enhance accessibility and responsiveness across web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alignment among product, design, and engineering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ensuring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introduced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transitions to modern frameworks, enhancing product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third-party APIs, facilitating efficient data flows within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align technical feasibility with product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optimizing existing applications, resulting in a 20%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GraphQL, Next.js,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Playwright,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Vite, TanStack Query, Sass,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Web Performance, Accessibility, SEO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