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designing and developing API/microservices with Java, .NET Core, and Node.js. Proven expertise in event-driven architectures and cloud platforms such as AWS and Azure.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transition to a cloud-native environment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containers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implementing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guide architectural discussions to enhance software performance and service boundaries.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Proof of Concepts (POCs) for internal projects,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functional requirements with technical designs and architecture blueprints.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in API development, ensuring compliance with healthcare standards and </w:t>
      </w:r>
      <w:r>
        <w:rPr>
          <w:rFonts w:asciiTheme="minorHAnsi" w:hAnsiTheme="minorHAnsi" w:cstheme="majorHAnsi"/>
          <w:b/>
          <w:bCs/>
          <w:lang w:val="en-US"/>
        </w:rPr>
        <w:t xml:space="preserve">FHIR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optimization initiatives, enhancing application performance and reliability through effective testing and monitoring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technologies to improve workflow processes,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serverless patterns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best practices and high code quality by utilizing automated testing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reviews, providing feedback on architecture decisions and fostering a culture of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the transition to a DevOps culture across engineering teams, influencing practices and ensuring seamless software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APIs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patient access and hub services within healthcare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full software development life cycle, from design to deployment, for key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while promoting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robust software solutions leveraging API ecosystems.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reducing time-to-market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 to shape technology choices and influence modernization roadmaps.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streaming solutions, improving real-time data processing and integration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ensuring compliance with healthcare integration formats.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focusing on reliable service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services for performance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clean coding practices and unit testing to enhance overall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environments across development and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utility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repetitive tasks and improve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by delivering features on time for multiple high-impact projects, leading to improved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TypeScript,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Node.js, Express.js, Spring Boot,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Oracle,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lang w:val="en-US"/>
        </w:rPr>
        <w:t xml:space="preserve">: REST, GraphQL,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Camunda, FHIR, X12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