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deploying deep learning models. Proficient in Python, C++, and real-time detection systems for autonomous driving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onboard vehicle </w:t>
      </w:r>
      <w:r>
        <w:rPr>
          <w:rFonts w:asciiTheme="minorHAnsi" w:hAnsiTheme="minorHAnsi" w:cstheme="majorHAnsi"/>
          <w:b/>
          <w:bCs/>
          <w:lang w:val="en-US"/>
        </w:rPr>
        <w:t xml:space="preserve">real-time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dynamic road actors.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detection algorithms, improving accuracy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sensor fusion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optimized for resource-constrained environments and safety-critical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collaboration across cross-functional teams to implement and streamline detection capabilities for our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model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deploying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to stakeholders, building consensus on project strategies and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decisions aligning with team goals on model frameworks and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for </w:t>
      </w:r>
      <w:r>
        <w:rPr>
          <w:rFonts w:asciiTheme="minorHAnsi" w:hAnsiTheme="minorHAnsi" w:cstheme="majorHAnsi"/>
          <w:b/>
          <w:bCs/>
          <w:lang w:val="en-US"/>
        </w:rPr>
        <w:t xml:space="preserve">detection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overall system reliability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deployed models, facilitating faster response to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real-time robotic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segmentation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advancement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related to real-time data processing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experimentation and validation, resulting in a 15%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translate requirements into effective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autonomous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features focusing on detection algorithms and product enhancements for robotic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high-quality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define testing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image processing tasks in conjunction with the detection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improvements in system accuracy, leading to a measurable impact on deployment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MATLAB,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Neural Networks, Sensor Fusion, Computer Vision, Image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Pandas, NumPy, SQL, Data Pipelines,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Test-Driven Development, Continuous Integration, Code Reviews,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