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of experience in mobile development, specializing in React Native, JavaScript, and TypeScript. Proven expertise in system architecture, CI/CD, and cross-squad collaboration to deliver high-quality scalable applications. Passionate about leveraging technology to enhance user experience and promote engineering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full lifecycle delivery of complex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with architectural vision and business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coding standards and quality assurance processes, increasing deployment efficiency by leveraging CI/CD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 coverage including unit, integration, and end-to-end testing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cross-squad teams to identify and mitigate architectural risks,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observability, enabling swift debugging and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technical documentation, fostering engineering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modernization of existing legacy codebases while adopting new technologies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native iOS modules into React Native, enhancing app functionality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Objective-C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mobile development processes to decrease 'Time to First Commit' and improve development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strategy sessions, aligning development work with long-term goals and contributions to the music community.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enhance code quality and maintainability, driving a culture of engineering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mobile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guiding design and implementation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modern development practices,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architectural improvements for mobile applications, focusing on performance optimizations and user experience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streamline feature delivery, ensuring alignment with customer needs and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automated testing and deployment,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and integrated with third-party services to enhance application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applications, migrating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integrating best practices in code management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and integration tests, advocating for a test-driven development approach to enhance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user engagement and enhancement.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continuous improvement initiatives, ensuring adherence to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modules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enhanced performance through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engineers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effectively, influencing data handling and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production issues, ensuring system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contributing to business metrics through improved software products.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Swift, Objective-C, Java,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Redux,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XCode, Android Studio, Firebase, Datadog,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</w:t>
      </w:r>
      <w:r>
        <w:rPr>
          <w:rFonts w:asciiTheme="minorHAnsi" w:hAnsiTheme="minorHAnsi" w:cstheme="majorHAnsi"/>
          <w:lang w:val="en-US"/>
        </w:rPr>
        <w:t xml:space="preserve">: Microservices, REST, Event-driven Architecture, Cloud-native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End-to-End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