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leveraging AWS, Terraform, and CI/CD practices. Proven track record in infrastructure ownership, security, and compliance. Passionate about driving innovative solutions in a hybrid team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transitioning operations from external DevOps to an internal team model, enhancing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project scopes, guide contractors, and ensure successful execution of tasks across diverse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 Infrastructure as Code (IaC) practices, promoting consistency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AWS infrastructure security, compliance, and cost optimization effectively to support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refine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align application needs with performance goals, driving cross-team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 comprehensive infrastructure roadmap addressing new product requirements and business scaling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contractors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monitoring, alerting, and incident response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high-availability and redundancy solutions as part of strategic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development for infrastructure tools and CI/CD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while fostering knowledge sharing sessions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creating templates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reusability and governance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visibility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developer feedback cycles to enhance testing strategies, focusing on unit and integration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Elevated security posture by implementing best practices and compliance checks in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deployed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production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testing processes to ensure software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and resolved system-related issues promptly, improving uptime across multiple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ECS, EKS, CI/CD,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Infrastructure Security, Compliance, Cost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