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in IT infrastructure and architecture. Expertise in AWS, Azure, SQL Server, and Active Directory. Proven track record in leading cloud migration projects and optimizing enterprise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cloud migration initiatives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modernize client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infrastructure roadmaps and architecture blueprints for enterprise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</w:t>
      </w:r>
      <w:r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optimize identity management and access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govern disaster recovery and high availability strategies using proven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L4 technical support during critical infrastructure events and escalate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project stakeholders on technical decision-making and solution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integration projects for </w:t>
      </w:r>
      <w:r>
        <w:rPr>
          <w:rFonts w:asciiTheme="minorHAnsi" w:hAnsiTheme="minorHAnsi" w:cstheme="majorHAnsi"/>
          <w:b/>
          <w:bCs/>
          <w:lang w:val="en-US"/>
        </w:rPr>
        <w:t xml:space="preserve">Office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infrastructure lifecycle planning and modernization efforts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cross-team collaboration to align infrastructure strategies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migration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to transition on-premise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virtualization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Hyper-V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compliance within enterprise infrastructures.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seamless solutions to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IT integration efforts in mergers and acquisitions, enhancing system interoperability.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operations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storage solutions for improved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system optimization activities in virtualized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disaster recovery planning and execution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various technical tasks that directly contributed to a 30% reduction in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Cloud Migration, Infrastructure as Code,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PowerShell,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&amp; Containerization</w:t>
      </w:r>
      <w:r>
        <w:rPr>
          <w:rFonts w:asciiTheme="minorHAnsi" w:hAnsiTheme="minorHAnsi" w:cstheme="majorHAnsi"/>
          <w:lang w:val="en-US"/>
        </w:rPr>
        <w:t xml:space="preserve">: VMware, Hyper-V,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Active Directory, Network Security, IT Disaster Recovery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Terraform,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