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Steward with 16 years of expertise in data quality, data management, and project coordination. Proficient in ETL tools, Curam, and Tableau. Committed to ensuring data integrity and compliance while driving improvements in data governance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cross-agency data governance practices ensuring compliance with institutional policies and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quality metrics using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assess data integrity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document data terminology and glossary in collaboration with the client Chief Data Officer.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policies for data access and establish procedures to enforce data privacy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cross-agency data-related initiatives, engaging stakeholders for effective records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analysis of federal and state data requirements to align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agency data artifacts to ensure accuracy and adherence to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drive data-quality improvement initiatives across diverse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program teams to document data needs and requirements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findings and actionable recommendations to executive leadership and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training materials for data management processes across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 as a mid-level Data Analyst responsible for large data sets, implementing ETL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analysts in data management best practices and data integrity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comprehensive data quality assessments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trends and anomalies.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data governance strategies to ensure compliance with federal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 stakeholder meetings to gather requirements and document data usage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designing reporting tools to enable enhanced visibility over data-related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documentation and presentation of data analysis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defining business data requirements to drive system enhancements and better service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data migration efforts, ensuring seamless transition of data assets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new features in databases, ensuring accurate data management practices following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testing and validation of data systems and applications used within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technical specifications for data reporting and analytics solutions utilizing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with users to troubleshoot data quality issues, providing reliable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 report generation capabilities, contributing to operational efficiency metrics that track data usage.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Curam, Tableau, Microsoft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Governance</w:t>
      </w:r>
      <w:r>
        <w:rPr>
          <w:rFonts w:asciiTheme="minorHAnsi" w:hAnsiTheme="minorHAnsi" w:cstheme="majorHAnsi"/>
          <w:lang w:val="en-US"/>
        </w:rPr>
        <w:t xml:space="preserve">: ETL, Data Quality Metrics, Data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Waterfall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Office, Microsoft Visio, Data Governance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