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Scientist with over 11 years of experience in SQL, Python, and causal inference methods. Expert in delivering high-impact insights and enhancing data-driven decisions leveraging R and robust analytical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high-impact data science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complex market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frameworks for measuring project impacts, enhancing decision-making with reproducible experiments.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rigorous analytical methods and encouraged their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insights to stakeholders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visualization and data storytelling.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data-driven strategies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reusable assets, including </w:t>
      </w:r>
      <w:r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analytical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shared decision-making infrastructure, implementing best practices for experimental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causal analysis employing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insightful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workflows that streamlined data processes and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predictive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forecast business trends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and analysis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analytical projects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influencing product strategy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project performance metrics, enhancing stakeholder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A/B testing protocols, interpreting results to drive product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analytical findings to the executive team, tailoring complexity to diverse audiences.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wrangling, enhancing data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metrics for success, establishing strategic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cross-functional relationships, driving data adoption across various departments.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to maintain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delivery, increasing application efficiency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SciPy, TensorFlow,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BigQuery,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Matplotlib, Seaborn, Plotly,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Notebook, Git, Docker,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Analytical Methods</w:t>
      </w:r>
      <w:r>
        <w:rPr>
          <w:rFonts w:asciiTheme="minorHAnsi" w:hAnsiTheme="minorHAnsi" w:cstheme="majorHAnsi"/>
          <w:lang w:val="en-US"/>
        </w:rPr>
        <w:t xml:space="preserve">: A/B Testing, Machine Learning, Causal Inference, Predictive Modeling, Experimental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