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data management, SQL, Snowflake, MongoDB, and data warehousing. Skilled in developing efficient data pipelines and implementing data quality strategies. Proven ability to collaborate across teams to drive data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architecture for scalable systems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flow efficiency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data pipelines with robust ETL processes,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 in developing data governance practices, ensuring compliance and enhancing data quality monitoring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for business intelligence solutions, developing tailored data models in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in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analysis skills, fostering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algorithms and designed patterns to improve data accessibility and performance, leveraging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security measures, including access control and encryption, to safeguard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assessments of existing database implementations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for quality assurance, implementing test-driven development practices, which reduced incidence of post-deployment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industry trends and tools to recommend best practices, integrating innovative technologies into existing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production schedules, reporting progress and addressing technical challenges effectively.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ETL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data retrieval time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on data infrastructure, contributing insights on best design patterns for performant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data modeling projects and facilitating knowledge sharing in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and business teams to define and implement data-driven solutions tailored to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quality checks and implemented monitoring practices, ensuring data integrity across pipelines and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warehouses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intelligence reporting needs, improving user access to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to support strategic initiatives, providing actionable insights to enhance organizational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sprint planning, contributing data-related tasks and estimates to overall project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pipelines to import external data into internal systems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database systems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reliability for critical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scalable data models supporting various applications, improving data access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for requirements gathering, articulating data needs effectively to ensure alignment with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to identify discrepancies and optimize systems, utilizing findings to enhance database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operational downtime through proactive data monitoring and troubleshooting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MongoDB, Redshift, BigQuery,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Integration</w:t>
      </w:r>
      <w:r>
        <w:rPr>
          <w:rFonts w:asciiTheme="minorHAnsi" w:hAnsiTheme="minorHAnsi" w:cstheme="majorHAnsi"/>
          <w:lang w:val="en-US"/>
        </w:rPr>
        <w:t xml:space="preserve">: Data modeling, ETL, Data warehousing,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CircleCI,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