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Scala, Python, Apache Spark, and cloud migrations. Proven expertise in building scalable data infrastructures in AWS and ensuring ETL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migration of data workloads from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operational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data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medallion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pipeline design standards for data quality and observability across the engineering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decisions regarding data architecture and infrastructure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terabyte-scale datasets, improving reliability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performance bottlenecks in existing pipelines, boosting throughput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best practices for data pipeline development and observability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data strategies with business objectives, driving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a comprehensive logging strategy for better monitoring across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facilitated architecture discussions to foster innovative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and tools to enhance existing processes and drive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production-ready data pipelines utilizing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batch and streaming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the performance and cost-effectiveness of data architecture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the implementation of scalable data solutions and architectural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ETL pipelines with a focus on </w:t>
      </w:r>
      <w:r>
        <w:rPr>
          <w:rFonts w:asciiTheme="minorHAnsi" w:eastAsia="Times New Roman" w:hAnsiTheme="minorHAnsi" w:cs="Times New Roman"/>
          <w:b/>
          <w:bCs/>
          <w:lang w:val="en-US"/>
        </w:rPr>
        <w:t xml:space="preserve">Delta 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medallion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the migration of workloads from on-premises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operation delays.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Formulated strategies for enhancing data reliability and optimizing job performance across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data engineering requirements for new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pipelines resulting in a 30% improvement in job execution.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data processing features in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team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data systems to improve scalability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data workloads to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during migration.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transformation tasks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processing speeds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for data reliability verification in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operational stability of end-to-end data pipelines handling large-scale datasets.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Scala,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Spark, Apache Airflow,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EMR, AWS Glue,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Medallion Architecture, ETL,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Logging,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